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9" w:rsidRDefault="000074A9" w:rsidP="000074A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86550" cy="10039350"/>
            <wp:effectExtent l="0" t="0" r="0" b="0"/>
            <wp:docPr id="1" name="Рисунок 1" descr="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A9" w:rsidRDefault="000074A9" w:rsidP="000074A9">
      <w:pPr>
        <w:jc w:val="both"/>
        <w:rPr>
          <w:sz w:val="24"/>
          <w:szCs w:val="24"/>
        </w:rPr>
      </w:pPr>
    </w:p>
    <w:p w:rsidR="000074A9" w:rsidRPr="00BA614D" w:rsidRDefault="000074A9" w:rsidP="000074A9">
      <w:pPr>
        <w:jc w:val="both"/>
        <w:rPr>
          <w:color w:val="800000"/>
          <w:sz w:val="24"/>
          <w:szCs w:val="24"/>
          <w:u w:val="single"/>
        </w:rPr>
      </w:pPr>
    </w:p>
    <w:p w:rsidR="000074A9" w:rsidRDefault="000074A9" w:rsidP="000074A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Сроки, порядок, условия и регламент проведения Чтений</w:t>
      </w:r>
    </w:p>
    <w:p w:rsidR="000074A9" w:rsidRDefault="000074A9" w:rsidP="000074A9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074A9" w:rsidRPr="0032025B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Чтения проводятся  2 февраля  2018 года в  13.00  в  Центре туризма и экскурсий по адресу: ул. Чкалова, 25. Участники прибывают на Чтения в сопровождении ответственного лица (педагога) до начала Чтений для регистрации. </w:t>
      </w:r>
      <w:proofErr w:type="gramStart"/>
      <w:r w:rsidRPr="0032025B">
        <w:rPr>
          <w:sz w:val="24"/>
          <w:szCs w:val="24"/>
        </w:rPr>
        <w:t>С собой необходимо иметь приказ О</w:t>
      </w:r>
      <w:r>
        <w:rPr>
          <w:sz w:val="24"/>
          <w:szCs w:val="24"/>
        </w:rPr>
        <w:t>О</w:t>
      </w:r>
      <w:r w:rsidRPr="0032025B">
        <w:rPr>
          <w:sz w:val="24"/>
          <w:szCs w:val="24"/>
        </w:rPr>
        <w:t xml:space="preserve"> о направлении учащихся на Чтения и назначении ответственного за жизнь и здоровье детей.</w:t>
      </w:r>
      <w:proofErr w:type="gramEnd"/>
    </w:p>
    <w:p w:rsidR="000074A9" w:rsidRDefault="000074A9" w:rsidP="000074A9">
      <w:pPr>
        <w:jc w:val="both"/>
        <w:rPr>
          <w:sz w:val="24"/>
          <w:szCs w:val="24"/>
        </w:rPr>
      </w:pP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Для участия в Чтениях  необходимо до 25 января 2018 года  направить по адресу: </w:t>
      </w:r>
      <w:smartTag w:uri="urn:schemas-microsoft-com:office:smarttags" w:element="metricconverter">
        <w:smartTagPr>
          <w:attr w:name="ProductID" w:val="152 901, г"/>
        </w:smartTagPr>
        <w:r>
          <w:rPr>
            <w:sz w:val="24"/>
            <w:szCs w:val="24"/>
          </w:rPr>
          <w:t>152 901, г</w:t>
        </w:r>
      </w:smartTag>
      <w:r>
        <w:rPr>
          <w:sz w:val="24"/>
          <w:szCs w:val="24"/>
        </w:rPr>
        <w:t xml:space="preserve">. Рыбинск, ул. Чкалова, 25,  Центр туризма и экскурсий,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9 следующие материалы и документы:</w:t>
      </w:r>
    </w:p>
    <w:p w:rsidR="000074A9" w:rsidRDefault="000074A9" w:rsidP="000074A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Чтениях по форме.  (Приложение №1);</w:t>
      </w:r>
    </w:p>
    <w:p w:rsidR="000074A9" w:rsidRDefault="000074A9" w:rsidP="000074A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обработку персональных данных каждого участника. (Приложение № 2);</w:t>
      </w:r>
    </w:p>
    <w:p w:rsidR="000074A9" w:rsidRDefault="000074A9" w:rsidP="000074A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текст исследовательской работы;</w:t>
      </w:r>
    </w:p>
    <w:p w:rsidR="000074A9" w:rsidRDefault="000074A9" w:rsidP="000074A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электронную версию предоставленных материалов.</w:t>
      </w:r>
    </w:p>
    <w:p w:rsidR="000074A9" w:rsidRDefault="000074A9" w:rsidP="000074A9">
      <w:pPr>
        <w:ind w:left="540" w:firstLine="708"/>
        <w:jc w:val="both"/>
        <w:rPr>
          <w:sz w:val="24"/>
          <w:szCs w:val="24"/>
        </w:rPr>
      </w:pPr>
    </w:p>
    <w:p w:rsidR="000074A9" w:rsidRPr="007662F3" w:rsidRDefault="000074A9" w:rsidP="000074A9">
      <w:pPr>
        <w:jc w:val="both"/>
        <w:rPr>
          <w:sz w:val="24"/>
          <w:szCs w:val="24"/>
        </w:rPr>
      </w:pPr>
      <w:r w:rsidRPr="007662F3">
        <w:rPr>
          <w:sz w:val="24"/>
          <w:szCs w:val="24"/>
        </w:rPr>
        <w:t>4.3. Условия проведения:</w:t>
      </w:r>
    </w:p>
    <w:p w:rsidR="000074A9" w:rsidRDefault="000074A9" w:rsidP="00007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заслушиванию допускаются исследовательские работы, оформленные в соответствии с требованиями, установленными настоящим положением и зафиксированные в форме заявки. Исследовательские работы, не имеющие краеведческого компонента, к Чтениям не допускаются.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Исследовательские работы должны соответствовать следующим требованиям: - документ </w:t>
      </w:r>
      <w:r>
        <w:rPr>
          <w:sz w:val="24"/>
          <w:szCs w:val="24"/>
          <w:lang w:val="en-US"/>
        </w:rPr>
        <w:t>Microsoft</w:t>
      </w:r>
      <w:r w:rsidRPr="00F347B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, формат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, шрифт </w:t>
      </w:r>
      <w:r>
        <w:rPr>
          <w:sz w:val="24"/>
          <w:szCs w:val="24"/>
          <w:lang w:val="en-US"/>
        </w:rPr>
        <w:t>New</w:t>
      </w:r>
      <w:r w:rsidRPr="00F347B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, размер 14, интервал 1,5, объёмом не более 15 страниц, не включая приложений. Краеведческая находка должна иметь описание, включающее историю происхождения предмета, материал, место нахождения предмета   и его использование, то есть, </w:t>
      </w:r>
      <w:proofErr w:type="spellStart"/>
      <w:r>
        <w:rPr>
          <w:sz w:val="24"/>
          <w:szCs w:val="24"/>
        </w:rPr>
        <w:t>атрибутирована</w:t>
      </w:r>
      <w:proofErr w:type="spellEnd"/>
      <w:r>
        <w:rPr>
          <w:sz w:val="24"/>
          <w:szCs w:val="24"/>
        </w:rPr>
        <w:t>.</w:t>
      </w:r>
    </w:p>
    <w:p w:rsidR="000074A9" w:rsidRPr="001E3C68" w:rsidRDefault="000074A9" w:rsidP="000074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 Структура работы: титульный лист, оглавление, введение, основная часть, заключение, список литературы и приложение</w:t>
      </w:r>
      <w:r w:rsidRPr="001E3C68">
        <w:rPr>
          <w:sz w:val="24"/>
          <w:szCs w:val="24"/>
        </w:rPr>
        <w:t>. (Приложение 3)</w:t>
      </w:r>
    </w:p>
    <w:p w:rsidR="000074A9" w:rsidRDefault="000074A9" w:rsidP="000074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Работы оцениваются по следующим критериям: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актуальность, новизна и оригинальность исследования;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- глубина содержания, соответствие содержания сформулированной теме, поставленной цели и задачам;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культура оформления исследовательской работы. 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4. Регламент выступления - 10 минут, включая показ презентации или иллюстративного  материала; ответы на вопросы - 5 минут; защита краеведческой находки -  7 минут.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5. Выступления участников</w:t>
      </w:r>
      <w:r>
        <w:rPr>
          <w:b/>
          <w:sz w:val="24"/>
          <w:szCs w:val="24"/>
        </w:rPr>
        <w:t xml:space="preserve"> </w:t>
      </w:r>
      <w:r w:rsidRPr="00454149">
        <w:rPr>
          <w:sz w:val="24"/>
          <w:szCs w:val="24"/>
        </w:rPr>
        <w:t>Чтений</w:t>
      </w:r>
      <w:r>
        <w:rPr>
          <w:sz w:val="24"/>
          <w:szCs w:val="24"/>
        </w:rPr>
        <w:t xml:space="preserve"> оцениваются по следующим критериям: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владение материалом, уровень компетентности в области проводимого исследования;  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- степень авторского вклада;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- качество выступления (логика, культура речи, использование наглядности).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Тематика исследовательских работ определяется целевыми программами туристско-краеведческого движения учащихся  РФ «Отечество».</w:t>
      </w:r>
    </w:p>
    <w:p w:rsidR="000074A9" w:rsidRDefault="000074A9" w:rsidP="000074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Военная история                                                                        9. Литературное краеведение          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Земляки                                                                                      10. Исчезнувшие памятники     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3  Летопись родного края                                                             11. Природное наследие.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Юные геологи                                                                           12. Этнография. 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Экология.                                                                                   13. Культурное наследие 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>6. Археология                                                                                14. Родословие</w:t>
      </w:r>
    </w:p>
    <w:p w:rsidR="000074A9" w:rsidRDefault="000074A9" w:rsidP="000074A9">
      <w:pPr>
        <w:rPr>
          <w:sz w:val="24"/>
        </w:rPr>
      </w:pPr>
      <w:r>
        <w:rPr>
          <w:sz w:val="24"/>
        </w:rPr>
        <w:t>7. История народного образования                                             15. Краеведческая находка.                                                                                                                                                                                                       8. Конкурс краеведческих проектов</w:t>
      </w:r>
    </w:p>
    <w:p w:rsidR="000074A9" w:rsidRDefault="000074A9" w:rsidP="000074A9">
      <w:pPr>
        <w:ind w:firstLine="708"/>
        <w:jc w:val="both"/>
        <w:rPr>
          <w:sz w:val="24"/>
          <w:szCs w:val="24"/>
        </w:rPr>
      </w:pPr>
    </w:p>
    <w:p w:rsidR="000074A9" w:rsidRPr="00B21AC8" w:rsidRDefault="000074A9" w:rsidP="00007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B21AC8">
        <w:rPr>
          <w:sz w:val="24"/>
          <w:szCs w:val="24"/>
        </w:rPr>
        <w:t xml:space="preserve">сли в одной номинации количество работ менее пяти, то </w:t>
      </w:r>
      <w:r>
        <w:rPr>
          <w:sz w:val="24"/>
          <w:szCs w:val="24"/>
        </w:rPr>
        <w:t>р</w:t>
      </w:r>
      <w:r w:rsidRPr="00B21AC8">
        <w:rPr>
          <w:sz w:val="24"/>
          <w:szCs w:val="24"/>
        </w:rPr>
        <w:t>аботы учащихся направляются на общих основаниях в секции, близкие по тематике.</w:t>
      </w:r>
    </w:p>
    <w:p w:rsidR="000074A9" w:rsidRDefault="000074A9" w:rsidP="000074A9">
      <w:pPr>
        <w:ind w:left="840"/>
        <w:jc w:val="both"/>
        <w:rPr>
          <w:b/>
          <w:sz w:val="24"/>
          <w:szCs w:val="24"/>
        </w:rPr>
      </w:pPr>
    </w:p>
    <w:p w:rsidR="000074A9" w:rsidRDefault="000074A9" w:rsidP="000074A9">
      <w:pPr>
        <w:pStyle w:val="2"/>
        <w:tabs>
          <w:tab w:val="left" w:pos="1080"/>
        </w:tabs>
        <w:ind w:left="720"/>
        <w:rPr>
          <w:sz w:val="24"/>
          <w:szCs w:val="24"/>
        </w:rPr>
      </w:pPr>
    </w:p>
    <w:p w:rsidR="000074A9" w:rsidRDefault="000074A9" w:rsidP="000074A9">
      <w:pPr>
        <w:ind w:left="2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</w:p>
    <w:p w:rsidR="000074A9" w:rsidRDefault="000074A9" w:rsidP="000074A9">
      <w:pPr>
        <w:ind w:left="2700"/>
        <w:rPr>
          <w:b/>
          <w:sz w:val="24"/>
          <w:szCs w:val="24"/>
        </w:rPr>
      </w:pPr>
    </w:p>
    <w:p w:rsidR="000074A9" w:rsidRDefault="000074A9" w:rsidP="000074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участников</w:t>
      </w:r>
    </w:p>
    <w:p w:rsidR="000074A9" w:rsidRDefault="000074A9" w:rsidP="000074A9">
      <w:pPr>
        <w:ind w:left="2700"/>
        <w:jc w:val="both"/>
        <w:rPr>
          <w:b/>
          <w:sz w:val="24"/>
          <w:szCs w:val="24"/>
        </w:rPr>
      </w:pPr>
    </w:p>
    <w:p w:rsidR="000074A9" w:rsidRDefault="000074A9" w:rsidP="000074A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5.1. Соблюдение прав участников  обеспечивается оргкомитетом в соответствии с Российским законодательством об авторских правах.</w:t>
      </w:r>
    </w:p>
    <w:p w:rsidR="000074A9" w:rsidRDefault="000074A9" w:rsidP="000074A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C71E5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 материалы не возвращаются и не рецензируются. Тексты докладов,  представленные на Чтениях, заносятся в банк краеведческих материалов Центра туризма и экскурсий.</w:t>
      </w:r>
    </w:p>
    <w:p w:rsidR="000074A9" w:rsidRDefault="000074A9" w:rsidP="000074A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5.3.  Участие в Чтениях рассматривается как согласие авторов на полную или частичную публикацию материалов с указанием ФИО автора.</w:t>
      </w:r>
    </w:p>
    <w:p w:rsidR="000074A9" w:rsidRDefault="000074A9" w:rsidP="000074A9">
      <w:pPr>
        <w:jc w:val="both"/>
        <w:rPr>
          <w:sz w:val="24"/>
          <w:szCs w:val="24"/>
        </w:rPr>
      </w:pPr>
    </w:p>
    <w:p w:rsidR="000074A9" w:rsidRDefault="000074A9" w:rsidP="000074A9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и награждение</w:t>
      </w:r>
    </w:p>
    <w:p w:rsidR="000074A9" w:rsidRDefault="000074A9" w:rsidP="000074A9">
      <w:pPr>
        <w:pStyle w:val="a3"/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Подведение итогов и награждение победителей осуществляется на секциях после окончания их работы. </w:t>
      </w:r>
    </w:p>
    <w:p w:rsidR="000074A9" w:rsidRDefault="000074A9" w:rsidP="000074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6.2. Итоги Чтений оформляются протоколом Оргкомитета и утверждаются приказом Департамента образования.</w:t>
      </w:r>
    </w:p>
    <w:p w:rsidR="000074A9" w:rsidRDefault="000074A9" w:rsidP="000074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6.3. Все участники получают свидетельство участника, подписанное директором Центра туризма и экскурсий.</w:t>
      </w:r>
    </w:p>
    <w:p w:rsidR="000074A9" w:rsidRDefault="000074A9" w:rsidP="000074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Победители (1-е место) и призёры  (2-е и 3-е место) в каждой номинации Чтений награждаются грамотами Департамента образования. </w:t>
      </w:r>
    </w:p>
    <w:p w:rsidR="000074A9" w:rsidRDefault="000074A9" w:rsidP="000074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074A9" w:rsidRDefault="000074A9" w:rsidP="000074A9">
      <w:pPr>
        <w:jc w:val="both"/>
        <w:rPr>
          <w:sz w:val="24"/>
          <w:szCs w:val="24"/>
        </w:rPr>
      </w:pPr>
    </w:p>
    <w:p w:rsidR="000074A9" w:rsidRDefault="000074A9" w:rsidP="00007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                                                  Н.В. </w:t>
      </w:r>
      <w:proofErr w:type="spellStart"/>
      <w:r>
        <w:rPr>
          <w:sz w:val="24"/>
          <w:szCs w:val="24"/>
        </w:rPr>
        <w:t>Косолобова</w:t>
      </w:r>
      <w:proofErr w:type="spellEnd"/>
      <w:r>
        <w:rPr>
          <w:sz w:val="24"/>
          <w:szCs w:val="24"/>
        </w:rPr>
        <w:t xml:space="preserve">      </w:t>
      </w: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jc w:val="right"/>
        <w:rPr>
          <w:sz w:val="24"/>
          <w:szCs w:val="24"/>
        </w:rPr>
      </w:pPr>
    </w:p>
    <w:p w:rsidR="000074A9" w:rsidRDefault="000074A9" w:rsidP="000074A9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Положение составил методист краеведческого отдела </w:t>
      </w:r>
    </w:p>
    <w:p w:rsidR="00B00AFA" w:rsidRDefault="000074A9">
      <w:r>
        <w:rPr>
          <w:sz w:val="24"/>
          <w:szCs w:val="24"/>
        </w:rPr>
        <w:t>И.Н. Потёмкина, контактный телефон 222 – 656, 222-629</w:t>
      </w:r>
    </w:p>
    <w:sectPr w:rsidR="00B00AFA" w:rsidSect="000074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E1D"/>
    <w:multiLevelType w:val="multilevel"/>
    <w:tmpl w:val="B7DAAB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2"/>
    <w:rsid w:val="000074A9"/>
    <w:rsid w:val="0060300F"/>
    <w:rsid w:val="009A3C92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074A9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074A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007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7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074A9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074A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007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7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2018-02-12T10:06:00Z</dcterms:created>
  <dcterms:modified xsi:type="dcterms:W3CDTF">2018-02-12T10:06:00Z</dcterms:modified>
</cp:coreProperties>
</file>